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8BFD590" w14:paraId="3D8FCEA9" wp14:textId="561C68CE">
      <w:pPr>
        <w:spacing w:after="0" w:line="240" w:lineRule="auto"/>
        <w:ind w:left="2832" w:firstLine="0"/>
        <w:rPr>
          <w:rFonts w:ascii="Segoe UI" w:hAnsi="Segoe UI" w:eastAsia="Segoe UI" w:cs="Segoe UI"/>
          <w:b w:val="0"/>
          <w:bCs w:val="0"/>
          <w:i w:val="0"/>
          <w:iCs w:val="0"/>
          <w:caps w:val="0"/>
          <w:smallCaps w:val="0"/>
          <w:noProof w:val="0"/>
          <w:color w:val="FF0000"/>
          <w:sz w:val="96"/>
          <w:szCs w:val="96"/>
          <w:lang w:val="it-IT"/>
        </w:rPr>
      </w:pPr>
      <w:r w:rsidRPr="38BFD590" w:rsidR="38BFD590">
        <w:rPr>
          <w:rFonts w:ascii="Calibri" w:hAnsi="Calibri" w:eastAsia="Calibri" w:cs="Calibri"/>
          <w:b w:val="0"/>
          <w:bCs w:val="0"/>
          <w:i w:val="0"/>
          <w:iCs w:val="0"/>
          <w:caps w:val="0"/>
          <w:smallCaps w:val="0"/>
          <w:noProof w:val="0"/>
          <w:color w:val="000000" w:themeColor="text1" w:themeTint="FF" w:themeShade="FF"/>
          <w:sz w:val="22"/>
          <w:szCs w:val="22"/>
          <w:lang w:val="it-IT"/>
        </w:rPr>
        <w:t xml:space="preserve">            </w:t>
      </w:r>
      <w:r>
        <w:drawing>
          <wp:inline xmlns:wp14="http://schemas.microsoft.com/office/word/2010/wordprocessingDrawing" wp14:editId="38BFD590" wp14:anchorId="4FF161EA">
            <wp:extent cx="1085850" cy="476250"/>
            <wp:effectExtent l="0" t="0" r="0" b="0"/>
            <wp:docPr id="901591282" name="" title=""/>
            <wp:cNvGraphicFramePr>
              <a:graphicFrameLocks noChangeAspect="1"/>
            </wp:cNvGraphicFramePr>
            <a:graphic>
              <a:graphicData uri="http://schemas.openxmlformats.org/drawingml/2006/picture">
                <pic:pic>
                  <pic:nvPicPr>
                    <pic:cNvPr id="0" name=""/>
                    <pic:cNvPicPr/>
                  </pic:nvPicPr>
                  <pic:blipFill>
                    <a:blip r:embed="R7eb8f654918e46d2">
                      <a:extLst>
                        <a:ext xmlns:a="http://schemas.openxmlformats.org/drawingml/2006/main" uri="{28A0092B-C50C-407E-A947-70E740481C1C}">
                          <a14:useLocalDpi val="0"/>
                        </a:ext>
                      </a:extLst>
                    </a:blip>
                    <a:stretch>
                      <a:fillRect/>
                    </a:stretch>
                  </pic:blipFill>
                  <pic:spPr>
                    <a:xfrm>
                      <a:off x="0" y="0"/>
                      <a:ext cx="1085850" cy="476250"/>
                    </a:xfrm>
                    <a:prstGeom prst="rect">
                      <a:avLst/>
                    </a:prstGeom>
                  </pic:spPr>
                </pic:pic>
              </a:graphicData>
            </a:graphic>
          </wp:inline>
        </w:drawing>
      </w:r>
    </w:p>
    <w:p xmlns:wp14="http://schemas.microsoft.com/office/word/2010/wordml" w:rsidP="38BFD590" w14:paraId="7FBD71AD" wp14:textId="54FA652C">
      <w:pPr>
        <w:spacing w:after="0" w:line="240" w:lineRule="auto"/>
        <w:ind w:right="638"/>
        <w:jc w:val="center"/>
        <w:rPr>
          <w:rFonts w:ascii="Segoe UI" w:hAnsi="Segoe UI" w:eastAsia="Segoe UI" w:cs="Segoe UI"/>
          <w:b w:val="0"/>
          <w:bCs w:val="0"/>
          <w:i w:val="0"/>
          <w:iCs w:val="0"/>
          <w:caps w:val="0"/>
          <w:smallCaps w:val="0"/>
          <w:noProof w:val="0"/>
          <w:color w:val="FF0000"/>
          <w:sz w:val="24"/>
          <w:szCs w:val="24"/>
          <w:lang w:val="it-IT"/>
        </w:rPr>
      </w:pPr>
    </w:p>
    <w:p xmlns:wp14="http://schemas.microsoft.com/office/word/2010/wordml" w:rsidP="38BFD590" w14:paraId="698F9F71" wp14:textId="07D0025B">
      <w:pPr>
        <w:tabs>
          <w:tab w:val="left" w:leader="none" w:pos="9000"/>
        </w:tabs>
        <w:spacing w:after="0" w:line="240" w:lineRule="auto"/>
        <w:ind w:right="638"/>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it-IT"/>
        </w:rPr>
      </w:pPr>
    </w:p>
    <w:p xmlns:wp14="http://schemas.microsoft.com/office/word/2010/wordml" w:rsidP="38BFD590" w14:paraId="24EB325C" wp14:textId="7D1EDB32">
      <w:pPr>
        <w:tabs>
          <w:tab w:val="left" w:leader="none" w:pos="9000"/>
        </w:tabs>
        <w:spacing w:after="0" w:line="240" w:lineRule="auto"/>
        <w:ind w:right="638" w:firstLine="540"/>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it-IT"/>
        </w:rPr>
      </w:pPr>
      <w:r w:rsidRPr="38BFD590" w:rsidR="38BFD59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2"/>
          <w:szCs w:val="32"/>
          <w:u w:val="single"/>
          <w:lang w:val="it-IT"/>
        </w:rPr>
        <w:t>Comunicato Stampa</w:t>
      </w:r>
    </w:p>
    <w:p xmlns:wp14="http://schemas.microsoft.com/office/word/2010/wordml" w:rsidP="38BFD590" w14:paraId="0A33C13B" wp14:textId="7EB351A8">
      <w:pPr>
        <w:tabs>
          <w:tab w:val="left" w:leader="none" w:pos="9000"/>
        </w:tabs>
        <w:spacing w:after="0" w:line="240" w:lineRule="auto"/>
        <w:ind w:right="638" w:firstLine="540"/>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it-IT"/>
        </w:rPr>
      </w:pPr>
      <w:r w:rsidRPr="38BFD590" w:rsidR="38BFD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it-IT"/>
        </w:rPr>
        <w:t>Imola, 22 febbraio 2023</w:t>
      </w:r>
    </w:p>
    <w:p xmlns:wp14="http://schemas.microsoft.com/office/word/2010/wordml" w:rsidP="38BFD590" w14:paraId="18A9CF83" wp14:textId="5AFDC424">
      <w:pPr>
        <w:tabs>
          <w:tab w:val="left" w:leader="none" w:pos="9000"/>
        </w:tabs>
        <w:spacing w:after="0" w:line="240" w:lineRule="auto"/>
        <w:ind w:right="638" w:firstLine="540"/>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it-IT"/>
        </w:rPr>
      </w:pPr>
    </w:p>
    <w:p xmlns:wp14="http://schemas.microsoft.com/office/word/2010/wordml" w:rsidP="38BFD590" w14:paraId="6CC448DC" wp14:textId="260A3B9C">
      <w:pPr>
        <w:tabs>
          <w:tab w:val="left" w:leader="none" w:pos="9000"/>
        </w:tabs>
        <w:spacing w:after="0" w:line="240" w:lineRule="auto"/>
        <w:ind w:right="638" w:firstLine="540"/>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it-IT"/>
        </w:rPr>
      </w:pPr>
    </w:p>
    <w:p xmlns:wp14="http://schemas.microsoft.com/office/word/2010/wordml" w:rsidP="38BFD590" w14:paraId="6CE5DF22" wp14:textId="2FE5A413">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it-IT"/>
        </w:rPr>
      </w:pPr>
      <w:r w:rsidRPr="38BFD590" w:rsidR="38BFD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it-IT"/>
        </w:rPr>
        <w:t xml:space="preserve">Sabato 4 marzo 2023, ore 21, al Teatro Comunale dell’Osservanza (Via Venturini 18, Imola) è in scena “La balena nera”, penultimo spettacolo della rassegna teatrale “Orizzonti” curata da T.I.L.T. (Trasgressivo Imola Laboratorio Teatro). </w:t>
      </w:r>
    </w:p>
    <w:p xmlns:wp14="http://schemas.microsoft.com/office/word/2010/wordml" w:rsidP="2C4A651E" w14:paraId="7FD440B2" wp14:textId="242DA6C0">
      <w:pPr>
        <w:pStyle w:val="Normal"/>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it-IT"/>
        </w:rPr>
      </w:pPr>
      <w:r w:rsidRPr="2C4A651E" w:rsidR="2C4A65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it-IT"/>
        </w:rPr>
        <w:t xml:space="preserve">“La balena nera” è frutto del percorso laboratoriale condotto da Pietro Floridia del gruppo teatrale de “L’attore che inventa”, laboratorio teatrale dell’associazione TILT rivolto ad attori amatoriali iniziato nell’autunno 2022. In questo percorso si è innestato lo spettacolo, costruito insieme agli attori che hanno anche attivamente contribuito alla realizzazione di una scenografia originale, ideata dall’artista Sara Pour. Regista e autore del testo dello spettacolo: Pietro Floridia, regista, drammaturgo, attore. Ha fondato nel 1994 il Teatro dell’Argine di cui è stato co-direttore artistico fino al 2012. Attualmente dirige Cantieri Meticci, compagnia di artisti provenienti da tutto il mondo, con cui continua a sperimentare ritualità artistiche ibride tra lo spettacolo, l’installazione e il gioco. Ha guidato progetti teatrali in oltre trenta paesi. </w:t>
      </w:r>
    </w:p>
    <w:p w:rsidR="2C4A651E" w:rsidP="2C4A651E" w:rsidRDefault="2C4A651E" w14:paraId="2DF1814F" w14:textId="49770134">
      <w:pPr>
        <w:pStyle w:val="Normal"/>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it-IT"/>
        </w:rPr>
      </w:pPr>
      <w:r w:rsidRPr="2C4A651E" w:rsidR="2C4A65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it-IT"/>
        </w:rPr>
        <w:t>Una balena nera si è arenata sulla spiaggia di una baia nascosta. Riesce a mantenersi in vita perchè, per alcune ore al giorno, l’alta marea la ricopre e la idrata. Ma l’acqua non è abbastanza alta per permetterle di riprendere il mare. Chi governa il paese vuole l’esclusivo controllo dell’emergenza-balena. Dichiara che trasformerà tale avversità in “un’occasione di rinascita dopo il periodo di crisi e di lutti che il paese ha vissuto”. Ed ecco che la balena diventa un’opportunità economica. A tempo di record, attorno all’imponente cetaceo, viene edificato un grande parco acquatico, in grado di soddisfare le voglie più diverse dei visitatori. Pare, infatti, che con la sua mole immensa, col suo mistero, quasi fosse un’antica divinità, un immenso serbatoio di immaginari, la balena appaghi i bisogni più disparati. E i visitatori accorrono a migliaia. Ma è troppo. Tutti dalla balena spremono qualcosa di diverso, ma l’animale non ce la fa più. Una notte, la baia è turbata dal suo respiro affaticato, anzi, dal suo rantolo che, come un incubo, si insinua nelle coscienze di ciascuno. Il paese sembra propendere per lasciare la balena alla sua agonia. In fondo è normale che una balena spiaggiata alla fine muoia. Solo alcune persone ai margini, non integrate nella normalità del paese, non sembrano d’accordo: un marinaio un po’ matto, una nonna, ma soprattutto i bambini. Cosa sta capitando ai bambini? Perché si comportano in modo così strano da quanto sono stati allontanati dalla balena? E cosa vanno tramando?</w:t>
      </w:r>
      <w:r>
        <w:br/>
      </w:r>
    </w:p>
    <w:p xmlns:wp14="http://schemas.microsoft.com/office/word/2010/wordml" w:rsidP="38BFD590" w14:paraId="79666C55" wp14:textId="7E2B809A">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it-IT"/>
        </w:rPr>
      </w:pPr>
      <w:r w:rsidRPr="38BFD590" w:rsidR="38BFD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it-IT"/>
        </w:rPr>
        <w:t>Dalle ore 20 la sera di spettacolo sarà possibile acquistare il biglietto intero al prezzo di 15 euro o il ridotto al prezzo di 10 euro oltre che l’abbonamento alla rassegna di 5 spettacoli al prezzo di 45 euro.</w:t>
      </w:r>
    </w:p>
    <w:p xmlns:wp14="http://schemas.microsoft.com/office/word/2010/wordml" w:rsidP="38BFD590" w14:paraId="70CE86F7" wp14:textId="4DAC4F27">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it-IT"/>
        </w:rPr>
      </w:pPr>
      <w:r w:rsidRPr="38BFD590" w:rsidR="38BFD59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it-IT"/>
        </w:rPr>
        <w:t>Informazioni e prenotazioni:</w:t>
      </w:r>
    </w:p>
    <w:p xmlns:wp14="http://schemas.microsoft.com/office/word/2010/wordml" w:rsidP="38BFD590" w14:paraId="29C96614" wp14:textId="2F664B05">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it-IT"/>
        </w:rPr>
      </w:pPr>
      <w:hyperlink r:id="Rb7f0fbb6245b44b4">
        <w:r w:rsidRPr="38BFD590" w:rsidR="38BFD590">
          <w:rPr>
            <w:rStyle w:val="Hyperlink"/>
            <w:rFonts w:ascii="Times New Roman" w:hAnsi="Times New Roman" w:eastAsia="Times New Roman" w:cs="Times New Roman"/>
            <w:b w:val="0"/>
            <w:bCs w:val="0"/>
            <w:i w:val="0"/>
            <w:iCs w:val="0"/>
            <w:caps w:val="0"/>
            <w:smallCaps w:val="0"/>
            <w:strike w:val="0"/>
            <w:dstrike w:val="0"/>
            <w:noProof w:val="0"/>
            <w:sz w:val="22"/>
            <w:szCs w:val="22"/>
            <w:lang w:val="it-IT"/>
          </w:rPr>
          <w:t>info@tiltonline.org</w:t>
        </w:r>
      </w:hyperlink>
      <w:r w:rsidRPr="38BFD590" w:rsidR="38BFD590">
        <w:rPr>
          <w:rStyle w:val="CollegamentoInternet"/>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it-IT"/>
        </w:rPr>
        <w:t xml:space="preserve"> </w:t>
      </w:r>
    </w:p>
    <w:p xmlns:wp14="http://schemas.microsoft.com/office/word/2010/wordml" w:rsidP="38BFD590" w14:paraId="64F416F0" wp14:textId="673E35DD">
      <w:pPr>
        <w:spacing w:after="0" w:line="240" w:lineRule="auto"/>
        <w:rPr>
          <w:rFonts w:ascii="Times New Roman" w:hAnsi="Times New Roman" w:eastAsia="Times New Roman" w:cs="Times New Roman"/>
          <w:b w:val="0"/>
          <w:bCs w:val="0"/>
          <w:i w:val="0"/>
          <w:iCs w:val="0"/>
          <w:caps w:val="0"/>
          <w:smallCaps w:val="0"/>
          <w:noProof w:val="0"/>
          <w:color w:val="00000A"/>
          <w:sz w:val="22"/>
          <w:szCs w:val="22"/>
          <w:lang w:val="it-IT"/>
        </w:rPr>
      </w:pPr>
      <w:r w:rsidRPr="38BFD590" w:rsidR="38BFD590">
        <w:rPr>
          <w:rFonts w:ascii="Times New Roman" w:hAnsi="Times New Roman" w:eastAsia="Times New Roman" w:cs="Times New Roman"/>
          <w:b w:val="0"/>
          <w:bCs w:val="0"/>
          <w:i w:val="0"/>
          <w:iCs w:val="0"/>
          <w:caps w:val="0"/>
          <w:smallCaps w:val="0"/>
          <w:noProof w:val="0"/>
          <w:color w:val="00000A"/>
          <w:sz w:val="22"/>
          <w:szCs w:val="22"/>
          <w:lang w:val="it-IT"/>
        </w:rPr>
        <w:t>cell</w:t>
      </w:r>
      <w:r w:rsidRPr="38BFD590" w:rsidR="38BFD590">
        <w:rPr>
          <w:rFonts w:ascii="Times New Roman" w:hAnsi="Times New Roman" w:eastAsia="Times New Roman" w:cs="Times New Roman"/>
          <w:b w:val="0"/>
          <w:bCs w:val="0"/>
          <w:i w:val="0"/>
          <w:iCs w:val="0"/>
          <w:caps w:val="0"/>
          <w:smallCaps w:val="0"/>
          <w:noProof w:val="0"/>
          <w:color w:val="00000A"/>
          <w:sz w:val="22"/>
          <w:szCs w:val="22"/>
          <w:lang w:val="it-IT"/>
        </w:rPr>
        <w:t xml:space="preserve">. 351 311 1011 </w:t>
      </w:r>
    </w:p>
    <w:p xmlns:wp14="http://schemas.microsoft.com/office/word/2010/wordml" w:rsidP="38BFD590" w14:paraId="20775397" wp14:textId="256B6C7E">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it-IT"/>
        </w:rPr>
      </w:pPr>
      <w:hyperlink r:id="Rf637a63b8ce943e3">
        <w:r w:rsidRPr="38BFD590" w:rsidR="38BFD590">
          <w:rPr>
            <w:rStyle w:val="Hyperlink"/>
            <w:rFonts w:ascii="Times New Roman" w:hAnsi="Times New Roman" w:eastAsia="Times New Roman" w:cs="Times New Roman"/>
            <w:b w:val="0"/>
            <w:bCs w:val="0"/>
            <w:i w:val="0"/>
            <w:iCs w:val="0"/>
            <w:caps w:val="0"/>
            <w:smallCaps w:val="0"/>
            <w:strike w:val="0"/>
            <w:dstrike w:val="0"/>
            <w:noProof w:val="0"/>
            <w:sz w:val="22"/>
            <w:szCs w:val="22"/>
            <w:lang w:val="it-IT"/>
          </w:rPr>
          <w:t>www.tiltonline.org</w:t>
        </w:r>
      </w:hyperlink>
    </w:p>
    <w:p xmlns:wp14="http://schemas.microsoft.com/office/word/2010/wordml" w:rsidP="38BFD590" w14:paraId="65F2B7EF" wp14:textId="5E97B81A">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it-IT"/>
        </w:rPr>
      </w:pPr>
    </w:p>
    <w:p xmlns:wp14="http://schemas.microsoft.com/office/word/2010/wordml" w:rsidP="38BFD590" w14:paraId="2DC08235" wp14:textId="2C46E2BE">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DD7B60"/>
    <w:rsid w:val="2C4A651E"/>
    <w:rsid w:val="38BFD590"/>
    <w:rsid w:val="59DD7B6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D7B60"/>
  <w15:chartTrackingRefBased/>
  <w15:docId w15:val="{D038D3FE-EF57-410E-AED4-3861AD8805A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CollegamentoInternet" w:customStyle="true">
    <w:uiPriority w:val="99"/>
    <w:name w:val="Collegamento Internet"/>
    <w:basedOn w:val="DefaultParagraphFont"/>
    <w:semiHidden/>
    <w:unhideWhenUsed/>
    <w:rsid w:val="38BFD590"/>
    <w:rPr>
      <w:color w:val="0000FF"/>
      <w:u w:val="single"/>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7eb8f654918e46d2" /><Relationship Type="http://schemas.openxmlformats.org/officeDocument/2006/relationships/hyperlink" Target="mailto:info@tiltonline.org" TargetMode="External" Id="Rb7f0fbb6245b44b4" /><Relationship Type="http://schemas.openxmlformats.org/officeDocument/2006/relationships/hyperlink" Target="http://www.tiltonline.org/" TargetMode="External" Id="Rf637a63b8ce943e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2023-02-22T12:31:19.5869258Z</dcterms:created>
  <dcterms:modified xsi:type="dcterms:W3CDTF">2023-02-23T18:32:15.2434335Z</dcterms:modified>
  <dc:creator>Sofia Zani</dc:creator>
  <lastModifiedBy>Sofia Zani</lastModifiedBy>
</coreProperties>
</file>